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6C3" w:rsidRPr="00B31DD6" w:rsidRDefault="008026C3" w:rsidP="008026C3">
      <w:pPr>
        <w:ind w:left="4536"/>
        <w:contextualSpacing/>
        <w:jc w:val="both"/>
        <w:rPr>
          <w:color w:val="000000"/>
          <w:lang w:eastAsia="lt-LT"/>
        </w:rPr>
      </w:pPr>
      <w:r w:rsidRPr="00B31DD6">
        <w:rPr>
          <w:color w:val="000000"/>
          <w:lang w:eastAsia="lt-LT"/>
        </w:rPr>
        <w:t xml:space="preserve">Vietos projektų teikiamų pagal </w:t>
      </w:r>
      <w:r w:rsidRPr="00B31DD6">
        <w:t>VPS priemonės „Bendradarbiavimas“ (Nr.</w:t>
      </w:r>
      <w:r>
        <w:t xml:space="preserve"> </w:t>
      </w:r>
      <w:r w:rsidRPr="00B31DD6">
        <w:t>LEADER-19.2-16) veiklos srities „Bendradarbiavimas siekiant ūkininkavimo veiklos įvairinimo, imantis veiklos, susijusios su sveikatos priežiūra, socialine integracija, bendruomenių remiama žemės ūkio veikla ir švietimu aplinkos ir maisto klausimais“(</w:t>
      </w:r>
      <w:r>
        <w:t xml:space="preserve">Nr. </w:t>
      </w:r>
      <w:r w:rsidRPr="00B31DD6">
        <w:t xml:space="preserve">LEADER 19,2-16,9) </w:t>
      </w:r>
      <w:r w:rsidRPr="00B31DD6">
        <w:rPr>
          <w:rFonts w:eastAsia="Calibri"/>
        </w:rPr>
        <w:t>finansavimo sąlygų aprašo</w:t>
      </w:r>
      <w:r w:rsidRPr="00B31DD6">
        <w:rPr>
          <w:color w:val="000000"/>
          <w:lang w:eastAsia="lt-LT"/>
        </w:rPr>
        <w:t xml:space="preserve">         </w:t>
      </w:r>
    </w:p>
    <w:p w:rsidR="00B83A24" w:rsidRPr="004D14F5" w:rsidRDefault="00B83A24" w:rsidP="00B83A24">
      <w:pPr>
        <w:ind w:left="4536"/>
        <w:rPr>
          <w:rFonts w:eastAsia="Calibri"/>
        </w:rPr>
      </w:pPr>
      <w:r>
        <w:rPr>
          <w:rFonts w:eastAsia="Calibri"/>
        </w:rPr>
        <w:t>2</w:t>
      </w:r>
      <w:r w:rsidRPr="004D14F5">
        <w:rPr>
          <w:rFonts w:eastAsia="Calibri"/>
        </w:rPr>
        <w:t xml:space="preserve"> priedas</w:t>
      </w:r>
    </w:p>
    <w:p w:rsidR="00FB09B9" w:rsidRPr="00A118D2" w:rsidRDefault="00FB09B9" w:rsidP="0001605A">
      <w:pPr>
        <w:ind w:left="7088" w:firstLine="1276"/>
        <w:jc w:val="center"/>
      </w:pPr>
    </w:p>
    <w:p w:rsidR="00927CFC" w:rsidRPr="00A118D2" w:rsidRDefault="00927CFC" w:rsidP="00FB09B9">
      <w:pPr>
        <w:ind w:left="7088" w:firstLine="127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1B35D0" w:rsidRPr="00A118D2" w:rsidTr="00B27D6B">
        <w:trPr>
          <w:trHeight w:val="1651"/>
        </w:trPr>
        <w:tc>
          <w:tcPr>
            <w:tcW w:w="4253" w:type="dxa"/>
          </w:tcPr>
          <w:p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stinklapis"/>
              <w:spacing w:before="0" w:after="0"/>
              <w:ind w:right="59"/>
              <w:jc w:val="center"/>
            </w:pPr>
            <w:r w:rsidRPr="00A118D2">
              <w:rPr>
                <w:noProof/>
                <w:sz w:val="20"/>
                <w:szCs w:val="20"/>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A118D2" w:rsidRDefault="001B35D0" w:rsidP="00B27D6B">
            <w:pPr>
              <w:pStyle w:val="prastasistinklapis"/>
              <w:spacing w:before="0" w:after="0"/>
              <w:ind w:right="59"/>
              <w:jc w:val="center"/>
            </w:pPr>
            <w:r w:rsidRPr="00A118D2">
              <w:rPr>
                <w:noProof/>
                <w:sz w:val="20"/>
                <w:szCs w:val="20"/>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8026C3" w:rsidRDefault="00AC2E61" w:rsidP="008F12FD">
      <w:pPr>
        <w:pStyle w:val="Pagrindinistekstas"/>
        <w:jc w:val="center"/>
        <w:rPr>
          <w:bCs/>
          <w:caps/>
          <w:szCs w:val="24"/>
        </w:rPr>
      </w:pPr>
    </w:p>
    <w:p w:rsidR="00B83A24" w:rsidRPr="008026C3" w:rsidRDefault="000E491A" w:rsidP="00B83A24">
      <w:pPr>
        <w:pStyle w:val="SUT1"/>
        <w:numPr>
          <w:ilvl w:val="0"/>
          <w:numId w:val="0"/>
        </w:numPr>
        <w:tabs>
          <w:tab w:val="left" w:pos="1134"/>
        </w:tabs>
        <w:spacing w:line="240" w:lineRule="auto"/>
        <w:ind w:firstLine="851"/>
        <w:rPr>
          <w:szCs w:val="24"/>
        </w:rPr>
      </w:pPr>
      <w:r w:rsidRPr="008026C3">
        <w:rPr>
          <w:szCs w:val="24"/>
        </w:rPr>
        <w:t>1.</w:t>
      </w:r>
      <w:r w:rsidR="00AC74B4" w:rsidRPr="008026C3">
        <w:rPr>
          <w:szCs w:val="24"/>
        </w:rPr>
        <w:tab/>
      </w:r>
      <w:r w:rsidR="00B83A24" w:rsidRPr="008026C3">
        <w:rPr>
          <w:szCs w:val="24"/>
        </w:rPr>
        <w:t>Šia Sutartimi Šalys susitaria bendradarbiauti įgyvendinant vietos projektą</w:t>
      </w:r>
      <w:r w:rsidR="00B83A24" w:rsidRPr="008026C3">
        <w:rPr>
          <w:b/>
          <w:szCs w:val="24"/>
        </w:rPr>
        <w:t xml:space="preserve"> </w:t>
      </w:r>
      <w:r w:rsidR="00B83A24" w:rsidRPr="008026C3">
        <w:rPr>
          <w:szCs w:val="24"/>
        </w:rPr>
        <w:t>Nr.</w:t>
      </w:r>
      <w:r w:rsidR="00B83A24" w:rsidRPr="008026C3">
        <w:rPr>
          <w:b/>
          <w:szCs w:val="24"/>
        </w:rPr>
        <w:t xml:space="preserve"> _______ „_____________________“</w:t>
      </w:r>
      <w:r w:rsidR="00B83A24" w:rsidRPr="008026C3">
        <w:rPr>
          <w:szCs w:val="24"/>
        </w:rPr>
        <w:t xml:space="preserve"> </w:t>
      </w:r>
      <w:r w:rsidR="00B83A24" w:rsidRPr="008026C3">
        <w:rPr>
          <w:i/>
          <w:szCs w:val="24"/>
        </w:rPr>
        <w:t>(nurodomas vietos projekto registracijos kodas, vietos projekto pavadinimas)</w:t>
      </w:r>
      <w:r w:rsidR="00B83A24" w:rsidRPr="008026C3">
        <w:rPr>
          <w:szCs w:val="24"/>
        </w:rPr>
        <w:t xml:space="preserve"> (toliau – vietos projektas), pateiktą pagal (toliau – VVG) „Prienų rajono vietos veiklos grupės teritorijos 2015-2023 m. vietos plėtros strategija“</w:t>
      </w:r>
      <w:r w:rsidR="00B83A24" w:rsidRPr="008026C3">
        <w:rPr>
          <w:i/>
          <w:szCs w:val="24"/>
        </w:rPr>
        <w:t xml:space="preserve"> </w:t>
      </w:r>
      <w:r w:rsidR="00B83A24" w:rsidRPr="008026C3">
        <w:rPr>
          <w:szCs w:val="24"/>
        </w:rPr>
        <w:t xml:space="preserve">II prioriteto „Socialinio aktyvumo skatinimas, bendruomeniškumo ugdymas ir socialinės atskirties mažinimas“ </w:t>
      </w:r>
      <w:r w:rsidR="008026C3" w:rsidRPr="008026C3">
        <w:rPr>
          <w:szCs w:val="24"/>
        </w:rPr>
        <w:t>VPS priemonės „Bendradarbiavimas“ (</w:t>
      </w:r>
      <w:proofErr w:type="spellStart"/>
      <w:r w:rsidR="008026C3" w:rsidRPr="008026C3">
        <w:rPr>
          <w:szCs w:val="24"/>
        </w:rPr>
        <w:t>Nr.LEADER-19.2-16</w:t>
      </w:r>
      <w:proofErr w:type="spellEnd"/>
      <w:r w:rsidR="008026C3" w:rsidRPr="008026C3">
        <w:rPr>
          <w:szCs w:val="24"/>
        </w:rPr>
        <w:t xml:space="preserve">) veiklos srities „Bendradarbiavimas siekiant </w:t>
      </w:r>
      <w:r w:rsidR="008026C3" w:rsidRPr="008026C3">
        <w:rPr>
          <w:szCs w:val="24"/>
        </w:rPr>
        <w:lastRenderedPageBreak/>
        <w:t xml:space="preserve">ūkininkavimo veiklos įvairinimo, imantis veiklos, susijusios su sveikatos priežiūra, socialine integracija, bendruomenių remiama žemės ūkio veikla ir švietimu aplinkos ir maisto klausimais“(LEADER 19,2-16,9) (toliau – VPS priemonės) </w:t>
      </w:r>
      <w:r w:rsidR="00B83A24" w:rsidRPr="008026C3">
        <w:rPr>
          <w:szCs w:val="24"/>
        </w:rPr>
        <w:t xml:space="preserve"> įgyvendinamą pagal</w:t>
      </w:r>
      <w:r w:rsidR="00B83A24" w:rsidRPr="008026C3">
        <w:rPr>
          <w:i/>
          <w:szCs w:val="24"/>
        </w:rPr>
        <w:t xml:space="preserve"> </w:t>
      </w:r>
      <w:r w:rsidR="00B83A24" w:rsidRPr="008026C3">
        <w:rPr>
          <w:szCs w:val="24"/>
        </w:rPr>
        <w:t xml:space="preserve">Vietos projektų finansavimo sąlygų aprašą, patvirtintą </w:t>
      </w:r>
      <w:r w:rsidR="00B83A24" w:rsidRPr="008026C3">
        <w:rPr>
          <w:color w:val="000000"/>
          <w:szCs w:val="24"/>
          <w:lang w:eastAsia="lt-LT"/>
        </w:rPr>
        <w:t xml:space="preserve">Prienų rajono vietos veiklos grupės </w:t>
      </w:r>
      <w:r w:rsidR="00B83A24" w:rsidRPr="008026C3">
        <w:rPr>
          <w:szCs w:val="24"/>
        </w:rPr>
        <w:t>valdybos 20</w:t>
      </w:r>
      <w:r w:rsidR="00432A61" w:rsidRPr="008026C3">
        <w:rPr>
          <w:szCs w:val="24"/>
        </w:rPr>
        <w:t>1</w:t>
      </w:r>
      <w:r w:rsidR="008026C3" w:rsidRPr="008026C3">
        <w:rPr>
          <w:szCs w:val="24"/>
        </w:rPr>
        <w:t xml:space="preserve">9 </w:t>
      </w:r>
      <w:r w:rsidR="00B83A24" w:rsidRPr="008026C3">
        <w:rPr>
          <w:szCs w:val="24"/>
        </w:rPr>
        <w:t>m.</w:t>
      </w:r>
      <w:r w:rsidR="00432A61" w:rsidRPr="008026C3">
        <w:rPr>
          <w:szCs w:val="24"/>
        </w:rPr>
        <w:t xml:space="preserve"> </w:t>
      </w:r>
      <w:r w:rsidR="008026C3" w:rsidRPr="008026C3">
        <w:rPr>
          <w:szCs w:val="24"/>
        </w:rPr>
        <w:t>gruodžio</w:t>
      </w:r>
      <w:r w:rsidR="00B83A24" w:rsidRPr="008026C3">
        <w:rPr>
          <w:color w:val="000000" w:themeColor="text1"/>
          <w:szCs w:val="24"/>
        </w:rPr>
        <w:t xml:space="preserve"> </w:t>
      </w:r>
      <w:r w:rsidR="008026C3" w:rsidRPr="008026C3">
        <w:rPr>
          <w:color w:val="000000" w:themeColor="text1"/>
          <w:szCs w:val="24"/>
        </w:rPr>
        <w:t xml:space="preserve">19 </w:t>
      </w:r>
      <w:r w:rsidR="00B83A24" w:rsidRPr="008026C3">
        <w:rPr>
          <w:color w:val="000000" w:themeColor="text1"/>
          <w:szCs w:val="24"/>
        </w:rPr>
        <w:t xml:space="preserve">d. sprendimu Nr. </w:t>
      </w:r>
      <w:r w:rsidR="008026C3">
        <w:rPr>
          <w:color w:val="000000" w:themeColor="text1"/>
          <w:szCs w:val="24"/>
        </w:rPr>
        <w:t>8</w:t>
      </w:r>
      <w:r w:rsidR="00B83A24" w:rsidRPr="008026C3">
        <w:rPr>
          <w:color w:val="000000" w:themeColor="text1"/>
          <w:szCs w:val="24"/>
        </w:rPr>
        <w:t xml:space="preserve"> </w:t>
      </w:r>
      <w:r w:rsidR="00B83A24" w:rsidRPr="008026C3">
        <w:rPr>
          <w:szCs w:val="24"/>
        </w:rPr>
        <w:t>(toliau – FSA), nepažeisdamos šios Sutarties sąlygų, Europos Sąjungos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8"/>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9"/>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1"/>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3"/>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4"/>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5"/>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6"/>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9"/>
      </w:r>
      <w:r w:rsidR="00B72398" w:rsidRPr="00A118D2">
        <w:rPr>
          <w:spacing w:val="-4"/>
          <w:sz w:val="24"/>
          <w:szCs w:val="24"/>
        </w:rPr>
        <w:t>/ Taisyklių 16.1.2 papunktyje</w:t>
      </w:r>
      <w:r w:rsidR="00B72398" w:rsidRPr="00A118D2">
        <w:rPr>
          <w:rStyle w:val="Puslapioinaosnuoroda"/>
          <w:spacing w:val="-4"/>
          <w:sz w:val="24"/>
          <w:szCs w:val="24"/>
        </w:rPr>
        <w:footnoteReference w:id="20"/>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1"/>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2"/>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3"/>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lastRenderedPageBreak/>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4"/>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5"/>
      </w:r>
      <w:r w:rsidRPr="00A118D2">
        <w:t>.</w:t>
      </w:r>
      <w:r w:rsidRPr="00A118D2">
        <w:rPr>
          <w:rStyle w:val="Puslapioinaosnuoroda"/>
        </w:rPr>
        <w:footnoteReference w:id="26"/>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7"/>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w:t>
      </w:r>
      <w:proofErr w:type="spellStart"/>
      <w:r w:rsidR="008F4532" w:rsidRPr="00A118D2">
        <w:rPr>
          <w:i/>
          <w:szCs w:val="24"/>
        </w:rPr>
        <w:t>majeure</w:t>
      </w:r>
      <w:proofErr w:type="spellEnd"/>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w:t>
      </w:r>
      <w:proofErr w:type="spellStart"/>
      <w:r w:rsidR="0066627F" w:rsidRPr="00A118D2">
        <w:rPr>
          <w:i/>
          <w:szCs w:val="24"/>
        </w:rPr>
        <w:t>majeure</w:t>
      </w:r>
      <w:proofErr w:type="spellEnd"/>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9"/>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0"/>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lastRenderedPageBreak/>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w:t>
      </w:r>
      <w:proofErr w:type="spellStart"/>
      <w:r w:rsidRPr="00A118D2">
        <w:rPr>
          <w:i/>
        </w:rPr>
        <w:t>majeure</w:t>
      </w:r>
      <w:proofErr w:type="spellEnd"/>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1"/>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3"/>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4"/>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6"/>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C2" w:rsidRDefault="00AB35C2">
      <w:r>
        <w:separator/>
      </w:r>
    </w:p>
  </w:endnote>
  <w:endnote w:type="continuationSeparator" w:id="0">
    <w:p w:rsidR="00AB35C2" w:rsidRDefault="00AB3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C2" w:rsidRDefault="00AB35C2">
      <w:r>
        <w:separator/>
      </w:r>
    </w:p>
  </w:footnote>
  <w:footnote w:type="continuationSeparator" w:id="0">
    <w:p w:rsidR="00AB35C2" w:rsidRDefault="00AB35C2">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bookmarkStart w:id="0" w:name="_GoBack"/>
      <w:bookmarkEnd w:id="0"/>
      <w:r w:rsidRPr="00903B4F">
        <w:rPr>
          <w:i/>
        </w:rPr>
        <w:t>partneriai, Sutartyje juos nurodant Partneris Nr. 1, Partneris Nr. n.</w:t>
      </w:r>
    </w:p>
  </w:footnote>
  <w:footnote w:id="2">
    <w:p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2">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4">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9">
    <w:p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2">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6">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2">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3">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5">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6">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F4161B"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F4161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026C3">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5DF"/>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5E1A"/>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4D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4C33"/>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1EE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26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FA9"/>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A61"/>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B23"/>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D91"/>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1F2"/>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E33"/>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68B"/>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AAA"/>
    <w:rsid w:val="007F1CDA"/>
    <w:rsid w:val="007F2230"/>
    <w:rsid w:val="00801C43"/>
    <w:rsid w:val="00801F76"/>
    <w:rsid w:val="008026C3"/>
    <w:rsid w:val="00802C47"/>
    <w:rsid w:val="00805924"/>
    <w:rsid w:val="00805F49"/>
    <w:rsid w:val="0080668B"/>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2C"/>
    <w:rsid w:val="00AA33C3"/>
    <w:rsid w:val="00AA3DCE"/>
    <w:rsid w:val="00AA4B96"/>
    <w:rsid w:val="00AA68D2"/>
    <w:rsid w:val="00AB1803"/>
    <w:rsid w:val="00AB1AFF"/>
    <w:rsid w:val="00AB2CD0"/>
    <w:rsid w:val="00AB35C2"/>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24"/>
    <w:rsid w:val="00B84253"/>
    <w:rsid w:val="00B84813"/>
    <w:rsid w:val="00B8575E"/>
    <w:rsid w:val="00B8597E"/>
    <w:rsid w:val="00B85B0F"/>
    <w:rsid w:val="00B863A8"/>
    <w:rsid w:val="00B86949"/>
    <w:rsid w:val="00B904A2"/>
    <w:rsid w:val="00B91988"/>
    <w:rsid w:val="00B93DFC"/>
    <w:rsid w:val="00B95F7A"/>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0DAF"/>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161B"/>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B9"/>
    <w:rsid w:val="00F649C5"/>
    <w:rsid w:val="00F652D1"/>
    <w:rsid w:val="00F66179"/>
    <w:rsid w:val="00F66298"/>
    <w:rsid w:val="00F66AD1"/>
    <w:rsid w:val="00F70BBF"/>
    <w:rsid w:val="00F70C2C"/>
    <w:rsid w:val="00F716C2"/>
    <w:rsid w:val="00F72C03"/>
    <w:rsid w:val="00F73B56"/>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AABDF1-1BC0-437D-8E44-08A2328C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18888</Words>
  <Characters>10767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VIP</cp:lastModifiedBy>
  <cp:revision>3</cp:revision>
  <cp:lastPrinted>2009-04-27T09:33:00Z</cp:lastPrinted>
  <dcterms:created xsi:type="dcterms:W3CDTF">2019-12-12T13:00:00Z</dcterms:created>
  <dcterms:modified xsi:type="dcterms:W3CDTF">2019-12-12T13:45:00Z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