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962" w:rsidRPr="00DF07DF" w:rsidRDefault="007C1821" w:rsidP="00D74209">
      <w:pPr>
        <w:jc w:val="center"/>
        <w:rPr>
          <w:lang w:val="lt-LT"/>
        </w:rPr>
      </w:pPr>
      <w:r w:rsidRPr="004D205B">
        <w:rPr>
          <w:noProof/>
          <w:sz w:val="23"/>
          <w:szCs w:val="23"/>
          <w:lang w:val="lt-LT" w:eastAsia="lt-LT"/>
        </w:rPr>
        <w:drawing>
          <wp:inline distT="0" distB="0" distL="0" distR="0">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00D74209" w:rsidRPr="004D205B">
        <w:rPr>
          <w:rFonts w:ascii="Arial" w:hAnsi="Arial" w:cs="Arial"/>
          <w:noProof/>
          <w:sz w:val="20"/>
          <w:lang w:val="lt-LT" w:eastAsia="lt-LT"/>
        </w:rPr>
        <w:drawing>
          <wp:inline distT="0" distB="0" distL="0" distR="0">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00D74209" w:rsidRPr="004D205B">
        <w:rPr>
          <w:b/>
          <w:noProof/>
          <w:szCs w:val="24"/>
          <w:lang w:val="lt-LT" w:eastAsia="lt-LT"/>
        </w:rPr>
        <w:drawing>
          <wp:inline distT="0" distB="0" distL="0" distR="0">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r w:rsidR="00E95468">
        <w:rPr>
          <w:noProof/>
          <w:lang w:val="lt-LT" w:eastAsia="lt-LT"/>
        </w:rPr>
        <w:drawing>
          <wp:inline distT="0" distB="0" distL="0" distR="0">
            <wp:extent cx="923925" cy="1219200"/>
            <wp:effectExtent l="19050" t="0" r="9525" b="0"/>
            <wp:docPr id="3"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23925" cy="1219200"/>
                    </a:xfrm>
                    <a:prstGeom prst="rect">
                      <a:avLst/>
                    </a:prstGeom>
                    <a:noFill/>
                    <a:ln w="9525">
                      <a:noFill/>
                      <a:miter lim="800000"/>
                      <a:headEnd/>
                      <a:tailEnd/>
                    </a:ln>
                  </pic:spPr>
                </pic:pic>
              </a:graphicData>
            </a:graphic>
          </wp:inline>
        </w:drawing>
      </w:r>
    </w:p>
    <w:p w:rsidR="00C604D3" w:rsidRPr="00DF07DF" w:rsidRDefault="00C604D3" w:rsidP="000541E4">
      <w:pPr>
        <w:jc w:val="center"/>
        <w:rPr>
          <w:lang w:val="lt-LT"/>
        </w:rPr>
      </w:pPr>
    </w:p>
    <w:p w:rsidR="00815962" w:rsidRPr="007264EA" w:rsidRDefault="000541E4" w:rsidP="000541E4">
      <w:pPr>
        <w:jc w:val="center"/>
        <w:rPr>
          <w:b/>
          <w:szCs w:val="24"/>
          <w:lang w:val="lt-LT"/>
        </w:rPr>
      </w:pPr>
      <w:r w:rsidRPr="007264EA">
        <w:rPr>
          <w:b/>
          <w:szCs w:val="24"/>
          <w:lang w:val="lt-LT"/>
        </w:rPr>
        <w:t xml:space="preserve">KVIETIMAS TEIKTI VIETOS PROJEKTUS Nr. </w:t>
      </w:r>
      <w:r w:rsidR="00DC1912">
        <w:rPr>
          <w:b/>
          <w:szCs w:val="24"/>
          <w:lang w:val="lt-LT"/>
        </w:rPr>
        <w:t>11</w:t>
      </w:r>
    </w:p>
    <w:p w:rsidR="00344B09" w:rsidRPr="007264EA" w:rsidRDefault="00F52F74" w:rsidP="00344B09">
      <w:pPr>
        <w:pStyle w:val="BodyText1"/>
        <w:spacing w:line="283" w:lineRule="auto"/>
        <w:rPr>
          <w:rFonts w:ascii="Times New Roman" w:hAnsi="Times New Roman" w:cs="Times New Roman"/>
          <w:sz w:val="24"/>
          <w:szCs w:val="24"/>
          <w:lang w:val="lt-LT"/>
        </w:rPr>
      </w:pPr>
      <w:r w:rsidRPr="007264EA">
        <w:rPr>
          <w:rFonts w:ascii="Times New Roman" w:hAnsi="Times New Roman" w:cs="Times New Roman"/>
          <w:sz w:val="24"/>
          <w:szCs w:val="24"/>
          <w:lang w:val="lt-LT"/>
        </w:rPr>
        <w:t>Prienų rajono vietos veiklos</w:t>
      </w:r>
      <w:r w:rsidR="001C0786">
        <w:rPr>
          <w:rFonts w:ascii="Times New Roman" w:hAnsi="Times New Roman" w:cs="Times New Roman"/>
          <w:sz w:val="24"/>
          <w:szCs w:val="24"/>
          <w:lang w:val="lt-LT"/>
        </w:rPr>
        <w:t xml:space="preserve"> grupė</w:t>
      </w:r>
      <w:r w:rsidRPr="007264EA">
        <w:rPr>
          <w:rFonts w:ascii="Times New Roman" w:hAnsi="Times New Roman" w:cs="Times New Roman"/>
          <w:sz w:val="24"/>
          <w:szCs w:val="24"/>
          <w:lang w:val="lt-LT"/>
        </w:rPr>
        <w:t xml:space="preserve"> </w:t>
      </w:r>
      <w:r w:rsidR="0065482F" w:rsidRPr="007264EA">
        <w:rPr>
          <w:rFonts w:ascii="Times New Roman" w:hAnsi="Times New Roman" w:cs="Times New Roman"/>
          <w:sz w:val="24"/>
          <w:szCs w:val="24"/>
          <w:lang w:val="lt-LT"/>
        </w:rPr>
        <w:t xml:space="preserve"> kviečia teikti </w:t>
      </w:r>
      <w:r w:rsidRPr="007264EA">
        <w:rPr>
          <w:rFonts w:ascii="Times New Roman" w:hAnsi="Times New Roman" w:cs="Times New Roman"/>
          <w:sz w:val="24"/>
          <w:szCs w:val="24"/>
          <w:lang w:val="lt-LT"/>
        </w:rPr>
        <w:t xml:space="preserve">paprastus kaimo vietovių vietos projektus </w:t>
      </w:r>
      <w:r w:rsidR="0065482F" w:rsidRPr="007264EA">
        <w:rPr>
          <w:rFonts w:ascii="Times New Roman" w:hAnsi="Times New Roman" w:cs="Times New Roman"/>
          <w:sz w:val="24"/>
          <w:szCs w:val="24"/>
          <w:lang w:val="lt-LT"/>
        </w:rPr>
        <w:t xml:space="preserve">pagal </w:t>
      </w:r>
      <w:r w:rsidR="00344B09" w:rsidRPr="007264EA">
        <w:rPr>
          <w:rFonts w:ascii="Times New Roman" w:hAnsi="Times New Roman" w:cs="Times New Roman"/>
          <w:sz w:val="24"/>
          <w:szCs w:val="24"/>
          <w:lang w:val="lt-LT"/>
        </w:rPr>
        <w:t>V</w:t>
      </w:r>
      <w:r w:rsidR="00F45B6D" w:rsidRPr="007264EA">
        <w:rPr>
          <w:rFonts w:ascii="Times New Roman" w:hAnsi="Times New Roman" w:cs="Times New Roman"/>
          <w:sz w:val="24"/>
          <w:szCs w:val="24"/>
          <w:lang w:val="lt-LT"/>
        </w:rPr>
        <w:t>ietos plėtros strategijos</w:t>
      </w:r>
      <w:r w:rsidR="0065482F" w:rsidRPr="007264EA">
        <w:rPr>
          <w:rFonts w:ascii="Times New Roman" w:hAnsi="Times New Roman" w:cs="Times New Roman"/>
          <w:sz w:val="24"/>
          <w:szCs w:val="24"/>
          <w:lang w:val="lt-LT"/>
        </w:rPr>
        <w:t xml:space="preserve"> </w:t>
      </w:r>
      <w:r w:rsidR="00344B09" w:rsidRPr="007264EA">
        <w:rPr>
          <w:rFonts w:ascii="Times New Roman" w:hAnsi="Times New Roman" w:cs="Times New Roman"/>
          <w:sz w:val="24"/>
          <w:szCs w:val="24"/>
          <w:lang w:val="lt-LT"/>
        </w:rPr>
        <w:t>„Prienų rajono vietos veiklos grupės teritorijos 2015-2023 m. vietos plėtros strategija“ (toliau – VPS) VPS priemonės „Ūkio ir verslo plėtra“ veiklos sritį „Parama ne žemės ūkio verslui kaimo vietovėse plėtoti“</w:t>
      </w:r>
    </w:p>
    <w:tbl>
      <w:tblPr>
        <w:tblStyle w:val="Lentelstinklelis"/>
        <w:tblW w:w="0" w:type="auto"/>
        <w:tblLook w:val="04A0"/>
      </w:tblPr>
      <w:tblGrid>
        <w:gridCol w:w="3397"/>
        <w:gridCol w:w="6521"/>
      </w:tblGrid>
      <w:tr w:rsidR="00242297" w:rsidRPr="007264EA" w:rsidTr="00F45B6D">
        <w:tc>
          <w:tcPr>
            <w:tcW w:w="3397" w:type="dxa"/>
            <w:vMerge w:val="restart"/>
            <w:vAlign w:val="center"/>
          </w:tcPr>
          <w:p w:rsidR="00F45B6D" w:rsidRPr="007264EA" w:rsidRDefault="00344B09" w:rsidP="00242297">
            <w:pPr>
              <w:jc w:val="both"/>
              <w:rPr>
                <w:szCs w:val="24"/>
                <w:lang w:val="lt-LT"/>
              </w:rPr>
            </w:pPr>
            <w:r w:rsidRPr="007264EA">
              <w:rPr>
                <w:szCs w:val="24"/>
                <w:lang w:val="lt-LT"/>
              </w:rPr>
              <w:t>VPS priemonės „Ūkio ir verslo plėtra“ (Nr.  LEADER-19.2-6) veiklos srities „Parama ne žemės ūkio verslui kaimo vietovėse plėtoti“ (Nr. LEADER-19.2-6.4)</w:t>
            </w:r>
          </w:p>
        </w:tc>
        <w:tc>
          <w:tcPr>
            <w:tcW w:w="6521" w:type="dxa"/>
          </w:tcPr>
          <w:p w:rsidR="00344B09" w:rsidRPr="007264EA" w:rsidRDefault="00344B09" w:rsidP="00344B09">
            <w:pPr>
              <w:jc w:val="both"/>
              <w:rPr>
                <w:b/>
                <w:szCs w:val="24"/>
                <w:lang w:val="lt-LT"/>
              </w:rPr>
            </w:pPr>
            <w:r w:rsidRPr="007264EA">
              <w:rPr>
                <w:szCs w:val="24"/>
                <w:lang w:val="lt-LT"/>
              </w:rPr>
              <w:t xml:space="preserve">Parama teikiama ne žemės ūkio veiklai plėtoti. Remiama ekonominė veikla, nurodyta Ekonominės veiklos rūšių klasifikatoriuje, patvirtintame Lietuvos statistikos departamento prie Lietuvos  Respublikos Vyriausybės generalinio direktoriaus </w:t>
            </w:r>
            <w:smartTag w:uri="urn:schemas-microsoft-com:office:smarttags" w:element="metricconverter">
              <w:smartTagPr>
                <w:attr w:name="ProductID" w:val="2007 m"/>
              </w:smartTagPr>
              <w:r w:rsidRPr="007264EA">
                <w:rPr>
                  <w:szCs w:val="24"/>
                  <w:lang w:val="lt-LT"/>
                </w:rPr>
                <w:t>2007 m</w:t>
              </w:r>
            </w:smartTag>
            <w:r w:rsidRPr="007264EA">
              <w:rPr>
                <w:szCs w:val="24"/>
                <w:lang w:val="lt-LT"/>
              </w:rPr>
              <w:t>. spalio 31 d.  įsakymu Nr. DĮ-226 „Dėl Ekonominės veiklos rūšių klasifikatoriaus patvirtinimo“ (toliau – EVRK), išskyrus veiklas, išvardintas pagal priemonės veiklos sritį LR žemės ūkio ministerijos neremiamų veiklų sąraše.</w:t>
            </w:r>
          </w:p>
          <w:p w:rsidR="00F45B6D" w:rsidRPr="007264EA" w:rsidRDefault="00344B09" w:rsidP="00344B09">
            <w:pPr>
              <w:jc w:val="both"/>
              <w:rPr>
                <w:i/>
                <w:szCs w:val="24"/>
                <w:lang w:val="lt-LT"/>
              </w:rPr>
            </w:pPr>
            <w:r w:rsidRPr="007264EA">
              <w:rPr>
                <w:szCs w:val="24"/>
                <w:lang w:val="lt-LT"/>
              </w:rPr>
              <w:t>Ši veiklos sritis skatins ekonominės veiklos plėtrą, remiant ir plėtojant veikiančius juridinius ir fizinius verslo subjektus VVG teritorijoje, kurie vykdo verslus. Bus skatinama esamų verslų plėtra, veiklų įvairinimas, darbo vietų kūrimas, bedarbystės mažinimas ir darbo vietų išlaikymas.</w:t>
            </w:r>
          </w:p>
        </w:tc>
      </w:tr>
      <w:tr w:rsidR="00242297" w:rsidRPr="007264EA" w:rsidTr="00421CC6">
        <w:tc>
          <w:tcPr>
            <w:tcW w:w="3397" w:type="dxa"/>
            <w:vMerge/>
          </w:tcPr>
          <w:p w:rsidR="00F45B6D" w:rsidRPr="007264EA" w:rsidRDefault="00F45B6D" w:rsidP="0065482F">
            <w:pPr>
              <w:jc w:val="both"/>
              <w:rPr>
                <w:szCs w:val="24"/>
                <w:lang w:val="lt-LT"/>
              </w:rPr>
            </w:pPr>
          </w:p>
        </w:tc>
        <w:tc>
          <w:tcPr>
            <w:tcW w:w="6521" w:type="dxa"/>
          </w:tcPr>
          <w:p w:rsidR="00F45B6D" w:rsidRPr="007264EA" w:rsidRDefault="00242297" w:rsidP="008A445D">
            <w:pPr>
              <w:jc w:val="both"/>
              <w:rPr>
                <w:szCs w:val="24"/>
                <w:lang w:val="lt-LT"/>
              </w:rPr>
            </w:pPr>
            <w:r w:rsidRPr="007264EA">
              <w:rPr>
                <w:rFonts w:eastAsia="Calibri"/>
                <w:szCs w:val="24"/>
                <w:lang w:val="lt-LT"/>
              </w:rPr>
              <w:t xml:space="preserve">Tinkami vietos projektų vykdytojai: </w:t>
            </w:r>
            <w:r w:rsidR="00344B09" w:rsidRPr="007264EA">
              <w:rPr>
                <w:szCs w:val="24"/>
                <w:lang w:val="lt-LT"/>
              </w:rPr>
              <w:t>Fiziniai ir juridiniai asmenys: ūkininkas ar kitas fizinis asmuo, labai maža įmonė, maža įmonė.</w:t>
            </w:r>
          </w:p>
        </w:tc>
      </w:tr>
      <w:tr w:rsidR="00242297" w:rsidRPr="007264EA" w:rsidTr="00421CC6">
        <w:tc>
          <w:tcPr>
            <w:tcW w:w="3397" w:type="dxa"/>
            <w:vMerge/>
          </w:tcPr>
          <w:p w:rsidR="00F45B6D" w:rsidRPr="007264EA" w:rsidRDefault="00F45B6D" w:rsidP="0065482F">
            <w:pPr>
              <w:jc w:val="both"/>
              <w:rPr>
                <w:szCs w:val="24"/>
                <w:lang w:val="lt-LT"/>
              </w:rPr>
            </w:pPr>
          </w:p>
        </w:tc>
        <w:tc>
          <w:tcPr>
            <w:tcW w:w="6521" w:type="dxa"/>
          </w:tcPr>
          <w:p w:rsidR="008A445D" w:rsidRPr="007264EA" w:rsidRDefault="008A445D" w:rsidP="0065482F">
            <w:pPr>
              <w:jc w:val="both"/>
              <w:rPr>
                <w:szCs w:val="24"/>
                <w:lang w:val="lt-LT"/>
              </w:rPr>
            </w:pPr>
            <w:r w:rsidRPr="007264EA">
              <w:rPr>
                <w:szCs w:val="24"/>
                <w:lang w:val="lt-LT"/>
              </w:rPr>
              <w:t xml:space="preserve">Kvietimui skiriama VPS paramos lėšų suma </w:t>
            </w:r>
            <w:r w:rsidR="00DC1912">
              <w:rPr>
                <w:szCs w:val="24"/>
              </w:rPr>
              <w:t>206 606</w:t>
            </w:r>
            <w:r w:rsidR="00344B09" w:rsidRPr="007264EA">
              <w:rPr>
                <w:szCs w:val="24"/>
              </w:rPr>
              <w:t xml:space="preserve">,00 </w:t>
            </w:r>
            <w:r w:rsidRPr="007264EA">
              <w:rPr>
                <w:szCs w:val="24"/>
                <w:lang w:val="lt-LT"/>
              </w:rPr>
              <w:t xml:space="preserve"> </w:t>
            </w:r>
            <w:proofErr w:type="spellStart"/>
            <w:r w:rsidRPr="007264EA">
              <w:rPr>
                <w:szCs w:val="24"/>
                <w:lang w:val="lt-LT"/>
              </w:rPr>
              <w:t>Eur</w:t>
            </w:r>
            <w:proofErr w:type="spellEnd"/>
            <w:r w:rsidR="00344B09" w:rsidRPr="007264EA">
              <w:rPr>
                <w:szCs w:val="24"/>
                <w:lang w:val="lt-LT"/>
              </w:rPr>
              <w:t>.</w:t>
            </w:r>
            <w:r w:rsidRPr="007264EA">
              <w:rPr>
                <w:szCs w:val="24"/>
                <w:lang w:val="lt-LT"/>
              </w:rPr>
              <w:t>;</w:t>
            </w:r>
          </w:p>
          <w:p w:rsidR="002146F8" w:rsidRDefault="007D38C6" w:rsidP="00344B09">
            <w:pPr>
              <w:jc w:val="both"/>
              <w:rPr>
                <w:szCs w:val="24"/>
                <w:lang w:val="lt-LT"/>
              </w:rPr>
            </w:pPr>
            <w:r>
              <w:rPr>
                <w:szCs w:val="24"/>
                <w:lang w:val="lt-LT"/>
              </w:rPr>
              <w:t>D</w:t>
            </w:r>
            <w:r w:rsidR="008A445D" w:rsidRPr="007264EA">
              <w:rPr>
                <w:szCs w:val="24"/>
                <w:lang w:val="lt-LT"/>
              </w:rPr>
              <w:t xml:space="preserve">idžiausia galima parama vienam vietos projektui įgyvendinti </w:t>
            </w:r>
          </w:p>
          <w:p w:rsidR="00F45B6D" w:rsidRPr="007264EA" w:rsidRDefault="00344B09" w:rsidP="00344B09">
            <w:pPr>
              <w:jc w:val="both"/>
              <w:rPr>
                <w:szCs w:val="24"/>
                <w:lang w:val="lt-LT"/>
              </w:rPr>
            </w:pPr>
            <w:r w:rsidRPr="007264EA">
              <w:rPr>
                <w:szCs w:val="24"/>
                <w:lang w:val="lt-LT"/>
              </w:rPr>
              <w:t>50 000,00</w:t>
            </w:r>
            <w:r w:rsidR="008A445D" w:rsidRPr="007264EA">
              <w:rPr>
                <w:szCs w:val="24"/>
                <w:lang w:val="lt-LT"/>
              </w:rPr>
              <w:t xml:space="preserve"> </w:t>
            </w:r>
            <w:proofErr w:type="spellStart"/>
            <w:r w:rsidR="008A445D" w:rsidRPr="007264EA">
              <w:rPr>
                <w:szCs w:val="24"/>
                <w:lang w:val="lt-LT"/>
              </w:rPr>
              <w:t>Eur</w:t>
            </w:r>
            <w:proofErr w:type="spellEnd"/>
          </w:p>
        </w:tc>
      </w:tr>
      <w:tr w:rsidR="00242297" w:rsidRPr="007264EA" w:rsidTr="00421CC6">
        <w:tc>
          <w:tcPr>
            <w:tcW w:w="3397" w:type="dxa"/>
            <w:vMerge/>
          </w:tcPr>
          <w:p w:rsidR="00F45B6D" w:rsidRPr="007264EA" w:rsidRDefault="00F45B6D" w:rsidP="0065482F">
            <w:pPr>
              <w:jc w:val="both"/>
              <w:rPr>
                <w:szCs w:val="24"/>
                <w:lang w:val="lt-LT"/>
              </w:rPr>
            </w:pPr>
          </w:p>
        </w:tc>
        <w:tc>
          <w:tcPr>
            <w:tcW w:w="6521" w:type="dxa"/>
          </w:tcPr>
          <w:p w:rsidR="005A38F3" w:rsidRPr="007264EA" w:rsidRDefault="008A445D" w:rsidP="008A445D">
            <w:pPr>
              <w:jc w:val="both"/>
              <w:rPr>
                <w:szCs w:val="24"/>
                <w:lang w:val="lt-LT"/>
              </w:rPr>
            </w:pPr>
            <w:r w:rsidRPr="007264EA">
              <w:rPr>
                <w:szCs w:val="24"/>
                <w:lang w:val="lt-LT"/>
              </w:rPr>
              <w:t>Paramos vietos projektui įgyvendinti lyginamoji dalis</w:t>
            </w:r>
            <w:r w:rsidR="00344B09" w:rsidRPr="007264EA">
              <w:rPr>
                <w:szCs w:val="24"/>
                <w:lang w:val="lt-LT"/>
              </w:rPr>
              <w:t>:</w:t>
            </w:r>
            <w:r w:rsidRPr="007264EA">
              <w:rPr>
                <w:szCs w:val="24"/>
                <w:lang w:val="lt-LT"/>
              </w:rPr>
              <w:t xml:space="preserve"> </w:t>
            </w:r>
          </w:p>
          <w:p w:rsidR="00344B09" w:rsidRPr="007264EA" w:rsidRDefault="00344B09" w:rsidP="00344B09">
            <w:pPr>
              <w:jc w:val="both"/>
              <w:rPr>
                <w:szCs w:val="24"/>
                <w:lang w:val="lt-LT"/>
              </w:rPr>
            </w:pPr>
            <w:r w:rsidRPr="007264EA">
              <w:rPr>
                <w:szCs w:val="24"/>
                <w:lang w:val="lt-LT"/>
              </w:rPr>
              <w:t xml:space="preserve">70 proc. tinkamų finansuoti išlaidų, kai vietos projektas yra privataus verslo pobūdžio (po jo įgyvendinimo projekte įsipareigojama gauti grynųjų pajamų) ir jį teikia privatus juridinis arba fizinis asmuo, atitinkantys labai mažai įmonei keliamus reikalavimus. </w:t>
            </w:r>
          </w:p>
          <w:p w:rsidR="00344B09" w:rsidRPr="007264EA" w:rsidRDefault="00344B09" w:rsidP="00344B09">
            <w:pPr>
              <w:jc w:val="both"/>
              <w:rPr>
                <w:szCs w:val="24"/>
                <w:lang w:val="lt-LT"/>
              </w:rPr>
            </w:pPr>
            <w:r w:rsidRPr="007264EA">
              <w:rPr>
                <w:szCs w:val="24"/>
                <w:lang w:val="lt-LT"/>
              </w:rPr>
              <w:t xml:space="preserve"> 50 proc. tinkamų finansuoti išlaidų, kai vietos projektas yra privataus verslo pobūdžio (po jo įgyvendinimo projekte įsipareigojama gauti grynųjų pajamų) ir jį teikia privatus juridinis arba fizinis asmuo, išskyrus asmenis, atitinkančius labai mažai įmonei keliamus reikalavimus</w:t>
            </w:r>
          </w:p>
          <w:p w:rsidR="00F45B6D" w:rsidRPr="007264EA" w:rsidRDefault="00F45B6D" w:rsidP="005A38F3">
            <w:pPr>
              <w:jc w:val="center"/>
              <w:rPr>
                <w:szCs w:val="24"/>
                <w:lang w:val="lt-LT"/>
              </w:rPr>
            </w:pPr>
          </w:p>
        </w:tc>
      </w:tr>
      <w:tr w:rsidR="005C4E1A" w:rsidRPr="007264EA" w:rsidTr="009460FD">
        <w:trPr>
          <w:trHeight w:val="853"/>
        </w:trPr>
        <w:tc>
          <w:tcPr>
            <w:tcW w:w="3397" w:type="dxa"/>
            <w:vMerge/>
          </w:tcPr>
          <w:p w:rsidR="005C4E1A" w:rsidRPr="007264EA" w:rsidRDefault="005C4E1A" w:rsidP="0065482F">
            <w:pPr>
              <w:jc w:val="both"/>
              <w:rPr>
                <w:szCs w:val="24"/>
                <w:lang w:val="lt-LT"/>
              </w:rPr>
            </w:pPr>
          </w:p>
        </w:tc>
        <w:tc>
          <w:tcPr>
            <w:tcW w:w="6521" w:type="dxa"/>
          </w:tcPr>
          <w:p w:rsidR="005C4E1A" w:rsidRPr="007264EA" w:rsidRDefault="005C4E1A" w:rsidP="0065482F">
            <w:pPr>
              <w:jc w:val="both"/>
              <w:rPr>
                <w:szCs w:val="24"/>
                <w:lang w:val="lt-LT"/>
              </w:rPr>
            </w:pPr>
            <w:r w:rsidRPr="007264EA">
              <w:rPr>
                <w:szCs w:val="24"/>
                <w:lang w:val="lt-LT"/>
              </w:rPr>
              <w:t xml:space="preserve">Finansavimo šaltiniai: </w:t>
            </w:r>
            <w:r w:rsidR="00344B09" w:rsidRPr="007264EA">
              <w:rPr>
                <w:szCs w:val="24"/>
                <w:lang w:val="lt-LT"/>
              </w:rPr>
              <w:t>EŽŪFKP ir Lietuvos Respublikos biudžeto lėšos.</w:t>
            </w:r>
          </w:p>
        </w:tc>
      </w:tr>
    </w:tbl>
    <w:p w:rsidR="00FF148D" w:rsidRPr="007264EA" w:rsidRDefault="00FF148D" w:rsidP="00FF148D">
      <w:pPr>
        <w:spacing w:after="0" w:line="240" w:lineRule="auto"/>
        <w:ind w:firstLine="567"/>
        <w:jc w:val="both"/>
        <w:rPr>
          <w:szCs w:val="24"/>
          <w:lang w:val="lt-LT"/>
        </w:rPr>
      </w:pPr>
    </w:p>
    <w:p w:rsidR="00421CC6" w:rsidRPr="007264EA" w:rsidRDefault="00FF148D" w:rsidP="00E37D9C">
      <w:pPr>
        <w:spacing w:before="120" w:after="120" w:line="240" w:lineRule="auto"/>
        <w:ind w:firstLine="567"/>
        <w:jc w:val="both"/>
        <w:rPr>
          <w:szCs w:val="24"/>
          <w:lang w:val="lt-LT"/>
        </w:rPr>
      </w:pPr>
      <w:r w:rsidRPr="007264EA">
        <w:rPr>
          <w:szCs w:val="24"/>
          <w:lang w:val="lt-LT"/>
        </w:rPr>
        <w:t xml:space="preserve">Bendra </w:t>
      </w:r>
      <w:r w:rsidR="005C4E1A" w:rsidRPr="007264EA">
        <w:rPr>
          <w:szCs w:val="24"/>
          <w:lang w:val="lt-LT"/>
        </w:rPr>
        <w:t>kvietimo teikti vietos projektus suma</w:t>
      </w:r>
      <w:r w:rsidRPr="007264EA">
        <w:rPr>
          <w:szCs w:val="24"/>
          <w:lang w:val="lt-LT"/>
        </w:rPr>
        <w:t xml:space="preserve"> </w:t>
      </w:r>
      <w:r w:rsidR="00590872">
        <w:rPr>
          <w:szCs w:val="24"/>
        </w:rPr>
        <w:t>206 606,00</w:t>
      </w:r>
      <w:r w:rsidR="00E21AC0" w:rsidRPr="007264EA">
        <w:rPr>
          <w:szCs w:val="24"/>
        </w:rPr>
        <w:t xml:space="preserve"> </w:t>
      </w:r>
      <w:r w:rsidR="00E21AC0" w:rsidRPr="007264EA">
        <w:rPr>
          <w:szCs w:val="24"/>
          <w:lang w:val="lt-LT"/>
        </w:rPr>
        <w:t xml:space="preserve"> </w:t>
      </w:r>
      <w:r w:rsidRPr="007264EA">
        <w:rPr>
          <w:szCs w:val="24"/>
          <w:lang w:val="lt-LT"/>
        </w:rPr>
        <w:t xml:space="preserve"> </w:t>
      </w:r>
      <w:proofErr w:type="spellStart"/>
      <w:r w:rsidR="005C4E1A" w:rsidRPr="007264EA">
        <w:rPr>
          <w:szCs w:val="24"/>
          <w:lang w:val="lt-LT"/>
        </w:rPr>
        <w:t>Eur</w:t>
      </w:r>
      <w:proofErr w:type="spellEnd"/>
      <w:r w:rsidR="00EA63C9" w:rsidRPr="007264EA">
        <w:rPr>
          <w:szCs w:val="24"/>
          <w:lang w:val="lt-LT"/>
        </w:rPr>
        <w:t xml:space="preserve"> iš EŽŪFKP ir Lietuvos Respublikos valstybės biudžeto lėšų. </w:t>
      </w:r>
    </w:p>
    <w:p w:rsidR="00E37D9C" w:rsidRPr="007264EA" w:rsidRDefault="00E37D9C" w:rsidP="00E37D9C">
      <w:pPr>
        <w:spacing w:before="120" w:after="120" w:line="240" w:lineRule="auto"/>
        <w:ind w:firstLine="567"/>
        <w:jc w:val="both"/>
        <w:rPr>
          <w:szCs w:val="24"/>
          <w:lang w:val="lt-LT"/>
        </w:rPr>
      </w:pPr>
      <w:r w:rsidRPr="007264EA">
        <w:rPr>
          <w:szCs w:val="24"/>
          <w:lang w:val="lt-LT"/>
        </w:rPr>
        <w:t>Vietos projektų finansavimo sąlygų aprašas skelbiam</w:t>
      </w:r>
      <w:r w:rsidR="00DF07DF" w:rsidRPr="007264EA">
        <w:rPr>
          <w:szCs w:val="24"/>
          <w:lang w:val="lt-LT"/>
        </w:rPr>
        <w:t xml:space="preserve">as </w:t>
      </w:r>
      <w:hyperlink r:id="rId11" w:history="1">
        <w:r w:rsidR="00E21AC0" w:rsidRPr="007264EA">
          <w:rPr>
            <w:rStyle w:val="Hipersaitas"/>
            <w:szCs w:val="24"/>
            <w:lang w:val="lt-LT"/>
          </w:rPr>
          <w:t>www.prienuvvg.lt</w:t>
        </w:r>
      </w:hyperlink>
      <w:r w:rsidR="00E21AC0" w:rsidRPr="007264EA">
        <w:rPr>
          <w:szCs w:val="24"/>
          <w:lang w:val="lt-LT"/>
        </w:rPr>
        <w:t xml:space="preserve"> </w:t>
      </w:r>
      <w:r w:rsidRPr="007264EA">
        <w:rPr>
          <w:szCs w:val="24"/>
          <w:lang w:val="lt-LT"/>
        </w:rPr>
        <w:t xml:space="preserve"> interneto svetainėje</w:t>
      </w:r>
      <w:r w:rsidR="002B651E" w:rsidRPr="007264EA">
        <w:rPr>
          <w:i/>
          <w:szCs w:val="24"/>
          <w:lang w:val="lt-LT"/>
        </w:rPr>
        <w:t>,</w:t>
      </w:r>
      <w:r w:rsidR="00F57D4F" w:rsidRPr="007264EA">
        <w:rPr>
          <w:szCs w:val="24"/>
          <w:lang w:val="lt-LT"/>
        </w:rPr>
        <w:t xml:space="preserve"> taip pat VPS vykdytojos būstinėje adresu</w:t>
      </w:r>
      <w:r w:rsidR="009D7918" w:rsidRPr="007264EA">
        <w:rPr>
          <w:szCs w:val="24"/>
          <w:lang w:val="lt-LT"/>
        </w:rPr>
        <w:t>:</w:t>
      </w:r>
      <w:r w:rsidR="00F57D4F" w:rsidRPr="007264EA">
        <w:rPr>
          <w:szCs w:val="24"/>
          <w:lang w:val="lt-LT"/>
        </w:rPr>
        <w:t xml:space="preserve"> </w:t>
      </w:r>
      <w:r w:rsidR="009D7918" w:rsidRPr="007264EA">
        <w:rPr>
          <w:szCs w:val="24"/>
          <w:lang w:val="lt-LT"/>
        </w:rPr>
        <w:t>Kauno g. 2</w:t>
      </w:r>
      <w:r w:rsidR="00F57D4F" w:rsidRPr="007264EA">
        <w:rPr>
          <w:szCs w:val="24"/>
          <w:lang w:val="lt-LT"/>
        </w:rPr>
        <w:t>.</w:t>
      </w:r>
      <w:r w:rsidR="009D7918" w:rsidRPr="007264EA">
        <w:rPr>
          <w:szCs w:val="24"/>
          <w:lang w:val="lt-LT"/>
        </w:rPr>
        <w:t xml:space="preserve"> Prienai.</w:t>
      </w:r>
    </w:p>
    <w:p w:rsidR="009D7918" w:rsidRPr="007264EA" w:rsidRDefault="009D7918" w:rsidP="009D7918">
      <w:pPr>
        <w:spacing w:before="120" w:after="120" w:line="240" w:lineRule="auto"/>
        <w:ind w:firstLine="567"/>
        <w:jc w:val="both"/>
        <w:rPr>
          <w:szCs w:val="24"/>
          <w:lang w:val="lt-LT"/>
        </w:rPr>
      </w:pPr>
      <w:r w:rsidRPr="007264EA">
        <w:rPr>
          <w:szCs w:val="24"/>
          <w:lang w:val="lt-LT"/>
        </w:rPr>
        <w:t>Kvietimas teikti vietos projektus galioja nuo 20</w:t>
      </w:r>
      <w:r w:rsidR="00590872">
        <w:rPr>
          <w:szCs w:val="24"/>
          <w:lang w:val="lt-LT"/>
        </w:rPr>
        <w:t xml:space="preserve">20 m. rugpjūčio </w:t>
      </w:r>
      <w:r w:rsidRPr="007264EA">
        <w:rPr>
          <w:szCs w:val="24"/>
          <w:lang w:val="lt-LT"/>
        </w:rPr>
        <w:t>1</w:t>
      </w:r>
      <w:r w:rsidR="00590872">
        <w:rPr>
          <w:szCs w:val="24"/>
          <w:lang w:val="lt-LT"/>
        </w:rPr>
        <w:t>9</w:t>
      </w:r>
      <w:r w:rsidRPr="007264EA">
        <w:rPr>
          <w:szCs w:val="24"/>
          <w:lang w:val="lt-LT"/>
        </w:rPr>
        <w:t xml:space="preserve"> d. 08:00 val. iki 20</w:t>
      </w:r>
      <w:r w:rsidR="00590872">
        <w:rPr>
          <w:szCs w:val="24"/>
          <w:lang w:val="lt-LT"/>
        </w:rPr>
        <w:t>20</w:t>
      </w:r>
      <w:r w:rsidRPr="007264EA">
        <w:rPr>
          <w:szCs w:val="24"/>
          <w:lang w:val="lt-LT"/>
        </w:rPr>
        <w:t xml:space="preserve"> m. </w:t>
      </w:r>
      <w:r w:rsidR="00590872">
        <w:rPr>
          <w:szCs w:val="24"/>
          <w:lang w:val="lt-LT"/>
        </w:rPr>
        <w:t>rugsėjo</w:t>
      </w:r>
      <w:r w:rsidRPr="007264EA">
        <w:rPr>
          <w:szCs w:val="24"/>
          <w:lang w:val="lt-LT"/>
        </w:rPr>
        <w:t xml:space="preserve"> </w:t>
      </w:r>
      <w:r w:rsidR="00590872">
        <w:rPr>
          <w:szCs w:val="24"/>
          <w:lang w:val="lt-LT"/>
        </w:rPr>
        <w:t>30</w:t>
      </w:r>
      <w:r w:rsidRPr="007264EA">
        <w:rPr>
          <w:szCs w:val="24"/>
          <w:lang w:val="lt-LT"/>
        </w:rPr>
        <w:t xml:space="preserve">  d. 1</w:t>
      </w:r>
      <w:r w:rsidR="00590872">
        <w:rPr>
          <w:szCs w:val="24"/>
          <w:lang w:val="lt-LT"/>
        </w:rPr>
        <w:t>4</w:t>
      </w:r>
      <w:r w:rsidRPr="007264EA">
        <w:rPr>
          <w:szCs w:val="24"/>
          <w:lang w:val="lt-LT"/>
        </w:rPr>
        <w:t>:00 val.</w:t>
      </w:r>
      <w:r w:rsidRPr="007264EA">
        <w:rPr>
          <w:i/>
          <w:szCs w:val="24"/>
          <w:lang w:val="lt-LT"/>
        </w:rPr>
        <w:t xml:space="preserve"> </w:t>
      </w:r>
      <w:r w:rsidRPr="007264EA">
        <w:rPr>
          <w:szCs w:val="24"/>
          <w:lang w:val="lt-LT"/>
        </w:rPr>
        <w:t xml:space="preserve"> </w:t>
      </w:r>
    </w:p>
    <w:p w:rsidR="00E37D9C" w:rsidRPr="007264EA" w:rsidRDefault="00F57D4F" w:rsidP="00E37D9C">
      <w:pPr>
        <w:spacing w:before="120" w:after="120" w:line="240" w:lineRule="auto"/>
        <w:ind w:firstLine="567"/>
        <w:jc w:val="both"/>
        <w:rPr>
          <w:szCs w:val="24"/>
          <w:lang w:val="lt-LT"/>
        </w:rPr>
      </w:pPr>
      <w:r w:rsidRPr="007264EA">
        <w:rPr>
          <w:szCs w:val="24"/>
          <w:lang w:val="lt-LT"/>
        </w:rPr>
        <w:t xml:space="preserve">Vietos projektų paraiškos priimamos </w:t>
      </w:r>
      <w:r w:rsidR="007264EA" w:rsidRPr="007264EA">
        <w:rPr>
          <w:szCs w:val="24"/>
          <w:lang w:val="lt-LT"/>
        </w:rPr>
        <w:t>Prienų rajono vietos veiklos grupės būstinėje adresu: Kauno g. 2, Prienai.</w:t>
      </w:r>
    </w:p>
    <w:p w:rsidR="00BD5067" w:rsidRPr="007264EA" w:rsidRDefault="00BD5067" w:rsidP="00BD5067">
      <w:pPr>
        <w:spacing w:after="0" w:line="240" w:lineRule="auto"/>
        <w:ind w:firstLine="567"/>
        <w:jc w:val="both"/>
        <w:rPr>
          <w:rFonts w:eastAsia="Calibri"/>
          <w:szCs w:val="24"/>
          <w:lang w:val="lt-LT"/>
        </w:rPr>
      </w:pPr>
      <w:r w:rsidRPr="007264EA">
        <w:rPr>
          <w:rFonts w:eastAsia="Calibri"/>
          <w:szCs w:val="24"/>
          <w:lang w:val="lt-LT"/>
        </w:rPr>
        <w:t xml:space="preserve">Paraiškos ir jų priedai turi būti užpildyti lietuvių kalba, kartu su vietos projekto paraiška teikiami priedai turi būti sudaryti lietuvių kalba </w:t>
      </w:r>
      <w:r w:rsidR="00AD58DF" w:rsidRPr="007264EA">
        <w:rPr>
          <w:rFonts w:eastAsia="Calibri"/>
          <w:szCs w:val="24"/>
          <w:lang w:val="lt-LT"/>
        </w:rPr>
        <w:t>arba kartu turi būti pateiktas</w:t>
      </w:r>
      <w:r w:rsidRPr="007264EA">
        <w:rPr>
          <w:rFonts w:eastAsia="Calibri"/>
          <w:szCs w:val="24"/>
          <w:lang w:val="lt-LT"/>
        </w:rPr>
        <w:t xml:space="preserve"> oficialus vertimų biuro, įmonės ar vertėjo (fizinio asmens) pasirašytas vertimas į lietuvių kalbą.</w:t>
      </w:r>
    </w:p>
    <w:p w:rsidR="00C604D3" w:rsidRPr="007264EA" w:rsidRDefault="00C604D3" w:rsidP="00BD5067">
      <w:pPr>
        <w:spacing w:after="0" w:line="240" w:lineRule="auto"/>
        <w:ind w:firstLine="567"/>
        <w:jc w:val="both"/>
        <w:rPr>
          <w:szCs w:val="24"/>
          <w:lang w:val="lt-LT"/>
        </w:rPr>
      </w:pPr>
      <w:r w:rsidRPr="007264EA">
        <w:rPr>
          <w:szCs w:val="24"/>
          <w:lang w:val="lt-LT"/>
        </w:rPr>
        <w:t xml:space="preserve">Per vieną </w:t>
      </w:r>
      <w:r w:rsidR="00D766D2" w:rsidRPr="007264EA">
        <w:rPr>
          <w:szCs w:val="24"/>
          <w:lang w:val="lt-LT"/>
        </w:rPr>
        <w:t xml:space="preserve">konkrečios VPS priemonės ir (arba) veiklos srities paramos paraiškų priėmimo </w:t>
      </w:r>
      <w:r w:rsidRPr="007264EA">
        <w:rPr>
          <w:szCs w:val="24"/>
          <w:lang w:val="lt-LT"/>
        </w:rPr>
        <w:t>laikotarpį vietos projekto paraiškos teikėjas gali pateikti vieną vietos projekto paraišką</w:t>
      </w:r>
      <w:r w:rsidR="00180F95" w:rsidRPr="007264EA">
        <w:rPr>
          <w:szCs w:val="24"/>
          <w:lang w:val="lt-LT"/>
        </w:rPr>
        <w:t xml:space="preserve"> (išskyrus išimtis</w:t>
      </w:r>
      <w:r w:rsidR="00632CB2" w:rsidRPr="007264EA">
        <w:rPr>
          <w:szCs w:val="24"/>
          <w:lang w:val="lt-LT"/>
        </w:rPr>
        <w:t>,</w:t>
      </w:r>
      <w:r w:rsidR="00180F95" w:rsidRPr="007264EA">
        <w:rPr>
          <w:szCs w:val="24"/>
          <w:lang w:val="lt-LT"/>
        </w:rPr>
        <w:t xml:space="preserve"> nurodytas Vietos projektų administravimo taisyklių </w:t>
      </w:r>
      <w:r w:rsidR="003C1882" w:rsidRPr="007264EA">
        <w:rPr>
          <w:szCs w:val="24"/>
          <w:lang w:val="lt-LT"/>
        </w:rPr>
        <w:t>69</w:t>
      </w:r>
      <w:r w:rsidR="00180F95" w:rsidRPr="007264EA">
        <w:rPr>
          <w:szCs w:val="24"/>
          <w:lang w:val="lt-LT"/>
        </w:rPr>
        <w:t xml:space="preserve"> punkte)</w:t>
      </w:r>
      <w:r w:rsidRPr="007264EA">
        <w:rPr>
          <w:szCs w:val="24"/>
          <w:lang w:val="lt-LT"/>
        </w:rPr>
        <w:t>.</w:t>
      </w:r>
    </w:p>
    <w:p w:rsidR="007264EA" w:rsidRPr="007264EA" w:rsidRDefault="007264EA" w:rsidP="007264EA">
      <w:pPr>
        <w:spacing w:before="120" w:after="120" w:line="240" w:lineRule="auto"/>
        <w:ind w:firstLine="567"/>
        <w:jc w:val="both"/>
        <w:rPr>
          <w:szCs w:val="24"/>
          <w:lang w:val="lt-LT"/>
        </w:rPr>
      </w:pPr>
      <w:r w:rsidRPr="007264EA">
        <w:rPr>
          <w:szCs w:val="24"/>
          <w:lang w:val="lt-LT"/>
        </w:rPr>
        <w:t xml:space="preserve">Informacija apie kvietimą teikti vietos projektus ir vietos projektų įgyvendinimą teikiama Prienų rajono vietos veiklos grupės būstinėje darbo dienomis nuo 08:00 val. iki 17:00 val. (penktadieniais iki 16:00 val.) arba elektroniniu paštu. Už informacijos teikimą atsakingi asmenys: projekto vadovė Virginija </w:t>
      </w:r>
      <w:proofErr w:type="spellStart"/>
      <w:r w:rsidRPr="007264EA">
        <w:rPr>
          <w:szCs w:val="24"/>
          <w:lang w:val="lt-LT"/>
        </w:rPr>
        <w:t>Žliobienė</w:t>
      </w:r>
      <w:proofErr w:type="spellEnd"/>
      <w:r w:rsidRPr="007264EA">
        <w:rPr>
          <w:szCs w:val="24"/>
          <w:lang w:val="lt-LT"/>
        </w:rPr>
        <w:t xml:space="preserve"> tel. +370 630 01772, projekto administratorius Saulius </w:t>
      </w:r>
      <w:proofErr w:type="spellStart"/>
      <w:r w:rsidRPr="007264EA">
        <w:rPr>
          <w:szCs w:val="24"/>
          <w:lang w:val="lt-LT"/>
        </w:rPr>
        <w:t>Narūnas</w:t>
      </w:r>
      <w:proofErr w:type="spellEnd"/>
      <w:r w:rsidRPr="007264EA">
        <w:rPr>
          <w:szCs w:val="24"/>
          <w:lang w:val="lt-LT"/>
        </w:rPr>
        <w:t xml:space="preserve"> tel. +370 686 31118, el. paštas: prienuvvg@gmail.com.</w:t>
      </w:r>
    </w:p>
    <w:p w:rsidR="00B20B6D" w:rsidRPr="007264EA" w:rsidRDefault="00B20B6D" w:rsidP="007264EA">
      <w:pPr>
        <w:spacing w:before="120" w:after="120" w:line="240" w:lineRule="auto"/>
        <w:ind w:firstLine="567"/>
        <w:jc w:val="both"/>
        <w:rPr>
          <w:szCs w:val="24"/>
          <w:lang w:val="lt-LT"/>
        </w:rPr>
      </w:pPr>
    </w:p>
    <w:sectPr w:rsidR="00B20B6D" w:rsidRPr="007264EA" w:rsidSect="00BB2C73">
      <w:headerReference w:type="default" r:id="rId12"/>
      <w:footerReference w:type="first" r:id="rId13"/>
      <w:pgSz w:w="12240" w:h="15840"/>
      <w:pgMar w:top="1134" w:right="567" w:bottom="119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042" w:rsidRDefault="00D72042" w:rsidP="00BB2C73">
      <w:pPr>
        <w:spacing w:after="0" w:line="240" w:lineRule="auto"/>
      </w:pPr>
      <w:r>
        <w:separator/>
      </w:r>
    </w:p>
  </w:endnote>
  <w:endnote w:type="continuationSeparator" w:id="0">
    <w:p w:rsidR="00D72042" w:rsidRDefault="00D72042" w:rsidP="00BB2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C5E" w:rsidRDefault="00077C5E" w:rsidP="00077C5E">
    <w:pPr>
      <w:pStyle w:val="Porat"/>
      <w:jc w:val="right"/>
    </w:pPr>
    <w:r>
      <w:t xml:space="preserve">        </w:t>
    </w:r>
  </w:p>
  <w:p w:rsidR="00077C5E" w:rsidRDefault="00077C5E">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042" w:rsidRDefault="00D72042" w:rsidP="00BB2C73">
      <w:pPr>
        <w:spacing w:after="0" w:line="240" w:lineRule="auto"/>
      </w:pPr>
      <w:r>
        <w:separator/>
      </w:r>
    </w:p>
  </w:footnote>
  <w:footnote w:type="continuationSeparator" w:id="0">
    <w:p w:rsidR="00D72042" w:rsidRDefault="00D72042" w:rsidP="00BB2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34239"/>
      <w:docPartObj>
        <w:docPartGallery w:val="Page Numbers (Top of Page)"/>
        <w:docPartUnique/>
      </w:docPartObj>
    </w:sdtPr>
    <w:sdtContent>
      <w:p w:rsidR="00BB2C73" w:rsidRDefault="000D216D">
        <w:pPr>
          <w:pStyle w:val="Antrats"/>
          <w:jc w:val="center"/>
        </w:pPr>
        <w:r>
          <w:fldChar w:fldCharType="begin"/>
        </w:r>
        <w:r w:rsidR="00BB2C73">
          <w:instrText>PAGE   \* MERGEFORMAT</w:instrText>
        </w:r>
        <w:r>
          <w:fldChar w:fldCharType="separate"/>
        </w:r>
        <w:r w:rsidR="002146F8" w:rsidRPr="002146F8">
          <w:rPr>
            <w:noProof/>
            <w:lang w:val="lt-LT"/>
          </w:rPr>
          <w:t>2</w:t>
        </w:r>
        <w:r>
          <w:fldChar w:fldCharType="end"/>
        </w:r>
      </w:p>
    </w:sdtContent>
  </w:sdt>
  <w:p w:rsidR="00BB2C73" w:rsidRDefault="00BB2C73">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characterSpacingControl w:val="doNotCompress"/>
  <w:hdrShapeDefaults>
    <o:shapedefaults v:ext="edit" spidmax="24578"/>
  </w:hdrShapeDefaults>
  <w:footnotePr>
    <w:footnote w:id="-1"/>
    <w:footnote w:id="0"/>
  </w:footnotePr>
  <w:endnotePr>
    <w:endnote w:id="-1"/>
    <w:endnote w:id="0"/>
  </w:endnotePr>
  <w:compat/>
  <w:rsids>
    <w:rsidRoot w:val="00C539F5"/>
    <w:rsid w:val="000076B1"/>
    <w:rsid w:val="00022042"/>
    <w:rsid w:val="0005283B"/>
    <w:rsid w:val="000541E4"/>
    <w:rsid w:val="00077C5E"/>
    <w:rsid w:val="000D216D"/>
    <w:rsid w:val="000E2E4E"/>
    <w:rsid w:val="00106EF3"/>
    <w:rsid w:val="00180F95"/>
    <w:rsid w:val="00191802"/>
    <w:rsid w:val="001B7A93"/>
    <w:rsid w:val="001C0786"/>
    <w:rsid w:val="001E5CA8"/>
    <w:rsid w:val="001F159E"/>
    <w:rsid w:val="001F3C12"/>
    <w:rsid w:val="002034B1"/>
    <w:rsid w:val="002146F8"/>
    <w:rsid w:val="002374B2"/>
    <w:rsid w:val="00242297"/>
    <w:rsid w:val="00256D17"/>
    <w:rsid w:val="00283D2D"/>
    <w:rsid w:val="00287AAA"/>
    <w:rsid w:val="002B651E"/>
    <w:rsid w:val="002C0BAE"/>
    <w:rsid w:val="002D30B0"/>
    <w:rsid w:val="002F0467"/>
    <w:rsid w:val="00304BCA"/>
    <w:rsid w:val="00324241"/>
    <w:rsid w:val="00336817"/>
    <w:rsid w:val="003371D1"/>
    <w:rsid w:val="00344B09"/>
    <w:rsid w:val="003652C2"/>
    <w:rsid w:val="00380082"/>
    <w:rsid w:val="003C1882"/>
    <w:rsid w:val="00421CC6"/>
    <w:rsid w:val="00476BF2"/>
    <w:rsid w:val="004A2160"/>
    <w:rsid w:val="004A4D25"/>
    <w:rsid w:val="004D205B"/>
    <w:rsid w:val="005019FE"/>
    <w:rsid w:val="00503934"/>
    <w:rsid w:val="005330E2"/>
    <w:rsid w:val="0057781A"/>
    <w:rsid w:val="00590872"/>
    <w:rsid w:val="005A38F3"/>
    <w:rsid w:val="005C4E1A"/>
    <w:rsid w:val="005E0E4A"/>
    <w:rsid w:val="005F1842"/>
    <w:rsid w:val="005F2AC1"/>
    <w:rsid w:val="005F5464"/>
    <w:rsid w:val="005F6D63"/>
    <w:rsid w:val="0061663A"/>
    <w:rsid w:val="00625762"/>
    <w:rsid w:val="00632CB2"/>
    <w:rsid w:val="00634174"/>
    <w:rsid w:val="006436C4"/>
    <w:rsid w:val="0065482F"/>
    <w:rsid w:val="006D4F4D"/>
    <w:rsid w:val="006F6FEC"/>
    <w:rsid w:val="00703817"/>
    <w:rsid w:val="00707218"/>
    <w:rsid w:val="00717906"/>
    <w:rsid w:val="007264EA"/>
    <w:rsid w:val="007616E9"/>
    <w:rsid w:val="00771F3F"/>
    <w:rsid w:val="007A6288"/>
    <w:rsid w:val="007B792B"/>
    <w:rsid w:val="007C1821"/>
    <w:rsid w:val="007D38C6"/>
    <w:rsid w:val="00815962"/>
    <w:rsid w:val="008351C9"/>
    <w:rsid w:val="00837CAA"/>
    <w:rsid w:val="00844395"/>
    <w:rsid w:val="00851626"/>
    <w:rsid w:val="00853AC3"/>
    <w:rsid w:val="00872F0F"/>
    <w:rsid w:val="008851CD"/>
    <w:rsid w:val="008A3921"/>
    <w:rsid w:val="008A445D"/>
    <w:rsid w:val="008E4806"/>
    <w:rsid w:val="00902373"/>
    <w:rsid w:val="00923D51"/>
    <w:rsid w:val="00925BB6"/>
    <w:rsid w:val="00941525"/>
    <w:rsid w:val="0094200E"/>
    <w:rsid w:val="009460FD"/>
    <w:rsid w:val="0094741F"/>
    <w:rsid w:val="00955951"/>
    <w:rsid w:val="009D7918"/>
    <w:rsid w:val="00A42E72"/>
    <w:rsid w:val="00A65823"/>
    <w:rsid w:val="00A87F30"/>
    <w:rsid w:val="00AB06E5"/>
    <w:rsid w:val="00AD4CA8"/>
    <w:rsid w:val="00AD58DF"/>
    <w:rsid w:val="00B059BB"/>
    <w:rsid w:val="00B20B6D"/>
    <w:rsid w:val="00B36A4A"/>
    <w:rsid w:val="00B378A5"/>
    <w:rsid w:val="00B83084"/>
    <w:rsid w:val="00BB2C73"/>
    <w:rsid w:val="00BD153C"/>
    <w:rsid w:val="00BD2AA5"/>
    <w:rsid w:val="00BD3D3D"/>
    <w:rsid w:val="00BD5067"/>
    <w:rsid w:val="00BF3B05"/>
    <w:rsid w:val="00C145D1"/>
    <w:rsid w:val="00C17F10"/>
    <w:rsid w:val="00C52988"/>
    <w:rsid w:val="00C539F5"/>
    <w:rsid w:val="00C604D3"/>
    <w:rsid w:val="00C64A2C"/>
    <w:rsid w:val="00C673CA"/>
    <w:rsid w:val="00CF23C6"/>
    <w:rsid w:val="00CF6F98"/>
    <w:rsid w:val="00D06918"/>
    <w:rsid w:val="00D348E1"/>
    <w:rsid w:val="00D72042"/>
    <w:rsid w:val="00D736F1"/>
    <w:rsid w:val="00D74209"/>
    <w:rsid w:val="00D766D2"/>
    <w:rsid w:val="00DC1561"/>
    <w:rsid w:val="00DC1912"/>
    <w:rsid w:val="00DD439D"/>
    <w:rsid w:val="00DE614E"/>
    <w:rsid w:val="00DF07DF"/>
    <w:rsid w:val="00DF3C47"/>
    <w:rsid w:val="00E21AC0"/>
    <w:rsid w:val="00E37D9C"/>
    <w:rsid w:val="00E44A8B"/>
    <w:rsid w:val="00E95468"/>
    <w:rsid w:val="00EA3A61"/>
    <w:rsid w:val="00EA63C9"/>
    <w:rsid w:val="00EC20F9"/>
    <w:rsid w:val="00F171DC"/>
    <w:rsid w:val="00F45B6D"/>
    <w:rsid w:val="00F52F74"/>
    <w:rsid w:val="00F55DEC"/>
    <w:rsid w:val="00F57D4F"/>
    <w:rsid w:val="00F603C5"/>
    <w:rsid w:val="00FA7C39"/>
    <w:rsid w:val="00FF148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42E7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rPr>
  </w:style>
  <w:style w:type="character" w:customStyle="1" w:styleId="PavadinimasDiagrama">
    <w:name w:val="Pavadinimas Diagrama"/>
    <w:basedOn w:val="Numatytasispastraiposriftas"/>
    <w:link w:val="Pavadinimas"/>
    <w:rsid w:val="00BD2AA5"/>
    <w:rPr>
      <w:rFonts w:eastAsia="Times New Roman" w:cs="Times New Roman"/>
      <w:szCs w:val="24"/>
    </w:rPr>
  </w:style>
  <w:style w:type="paragraph" w:customStyle="1" w:styleId="BodyText1">
    <w:name w:val="Body Text1"/>
    <w:uiPriority w:val="99"/>
    <w:rsid w:val="00344B09"/>
    <w:pPr>
      <w:autoSpaceDE w:val="0"/>
      <w:autoSpaceDN w:val="0"/>
      <w:adjustRightInd w:val="0"/>
      <w:spacing w:after="0" w:line="240" w:lineRule="auto"/>
      <w:ind w:firstLine="312"/>
      <w:jc w:val="both"/>
    </w:pPr>
    <w:rPr>
      <w:rFonts w:ascii="TimesLT" w:eastAsia="Times New Roman" w:hAnsi="TimesLT" w:cs="TimesLT"/>
      <w:sz w:val="20"/>
      <w:szCs w:val="20"/>
    </w:rPr>
  </w:style>
  <w:style w:type="character" w:styleId="Hipersaitas">
    <w:name w:val="Hyperlink"/>
    <w:basedOn w:val="Numatytasispastraiposriftas"/>
    <w:uiPriority w:val="99"/>
    <w:unhideWhenUsed/>
    <w:rsid w:val="00E21AC0"/>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rienuvvg.l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6E32AA5-55FB-4159-AEC5-6F2947F0F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2394</Words>
  <Characters>1366</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VIP</cp:lastModifiedBy>
  <cp:revision>4</cp:revision>
  <dcterms:created xsi:type="dcterms:W3CDTF">2020-08-06T11:41:00Z</dcterms:created>
  <dcterms:modified xsi:type="dcterms:W3CDTF">2020-08-06T13:26:00Z</dcterms:modified>
</cp:coreProperties>
</file>