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3A24" w:rsidRPr="004D14F5" w:rsidRDefault="00B83A24" w:rsidP="00B83A24">
      <w:pPr>
        <w:ind w:left="4536"/>
        <w:jc w:val="both"/>
        <w:rPr>
          <w:color w:val="000000"/>
          <w:sz w:val="22"/>
          <w:szCs w:val="22"/>
          <w:lang w:eastAsia="lt-LT"/>
        </w:rPr>
      </w:pPr>
      <w:r w:rsidRPr="004D14F5">
        <w:rPr>
          <w:color w:val="000000"/>
          <w:sz w:val="22"/>
          <w:szCs w:val="22"/>
          <w:lang w:eastAsia="lt-LT"/>
        </w:rPr>
        <w:t xml:space="preserve">Vietos projektų teikiamų pagal </w:t>
      </w:r>
      <w:r w:rsidRPr="00901600">
        <w:rPr>
          <w:sz w:val="22"/>
          <w:szCs w:val="22"/>
        </w:rPr>
        <w:t>VPS priemonės „</w:t>
      </w:r>
      <w:r>
        <w:rPr>
          <w:sz w:val="22"/>
          <w:szCs w:val="22"/>
        </w:rPr>
        <w:t>Kultūros savitumo išsaugojimas, tradicijų tęstinumas</w:t>
      </w:r>
      <w:r w:rsidRPr="00901600">
        <w:rPr>
          <w:sz w:val="22"/>
          <w:szCs w:val="22"/>
        </w:rPr>
        <w:t>“ Nr.  LEADER-19.2-</w:t>
      </w:r>
      <w:r>
        <w:rPr>
          <w:sz w:val="22"/>
          <w:szCs w:val="22"/>
        </w:rPr>
        <w:t>SAVA-4</w:t>
      </w:r>
      <w:r w:rsidRPr="00901600">
        <w:rPr>
          <w:sz w:val="22"/>
          <w:szCs w:val="22"/>
        </w:rPr>
        <w:t xml:space="preserve"> (toliau – VPS priemonės) vietos projektams</w:t>
      </w:r>
      <w:r w:rsidRPr="004D14F5">
        <w:rPr>
          <w:rFonts w:eastAsia="Calibri"/>
          <w:sz w:val="22"/>
          <w:szCs w:val="22"/>
        </w:rPr>
        <w:t xml:space="preserve"> finansavimo sąlygų aprašo</w:t>
      </w:r>
    </w:p>
    <w:p w:rsidR="00B83A24" w:rsidRPr="004D14F5" w:rsidRDefault="00B83A24" w:rsidP="00B83A24">
      <w:pPr>
        <w:ind w:left="4536"/>
        <w:rPr>
          <w:rFonts w:eastAsia="Calibri"/>
        </w:rPr>
      </w:pPr>
      <w:r>
        <w:rPr>
          <w:rFonts w:eastAsia="Calibri"/>
        </w:rPr>
        <w:t>2</w:t>
      </w:r>
      <w:r w:rsidRPr="004D14F5">
        <w:rPr>
          <w:rFonts w:eastAsia="Calibri"/>
        </w:rPr>
        <w:t xml:space="preserve"> priedas</w:t>
      </w:r>
    </w:p>
    <w:p w:rsidR="00FB09B9" w:rsidRPr="00A118D2" w:rsidRDefault="00FB09B9" w:rsidP="0001605A">
      <w:pPr>
        <w:ind w:left="7088" w:firstLine="1276"/>
        <w:jc w:val="center"/>
      </w:pPr>
    </w:p>
    <w:p w:rsidR="00927CFC" w:rsidRPr="00A118D2" w:rsidRDefault="00927CFC" w:rsidP="00FB09B9">
      <w:pPr>
        <w:ind w:left="7088" w:firstLine="127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rsidTr="00B27D6B">
        <w:trPr>
          <w:trHeight w:val="1651"/>
        </w:trPr>
        <w:tc>
          <w:tcPr>
            <w:tcW w:w="4253" w:type="dxa"/>
          </w:tcPr>
          <w:p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A118D2" w:rsidRDefault="001B35D0" w:rsidP="00B27D6B">
            <w:pPr>
              <w:pStyle w:val="prastasiniatinklio"/>
              <w:spacing w:before="0" w:after="0"/>
              <w:ind w:right="59"/>
              <w:jc w:val="center"/>
            </w:pPr>
            <w:r w:rsidRPr="00A118D2">
              <w:rPr>
                <w:noProof/>
                <w:sz w:val="20"/>
                <w:szCs w:val="20"/>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A118D2" w:rsidRDefault="001B35D0" w:rsidP="00B27D6B">
            <w:pPr>
              <w:pStyle w:val="prastasiniatinklio"/>
              <w:spacing w:before="0" w:after="0"/>
              <w:ind w:right="59"/>
              <w:jc w:val="center"/>
            </w:pPr>
            <w:r w:rsidRPr="00A118D2">
              <w:rPr>
                <w:noProof/>
                <w:sz w:val="20"/>
                <w:szCs w:val="20"/>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A118D2" w:rsidRDefault="001B35D0" w:rsidP="00B27D6B">
            <w:pPr>
              <w:jc w:val="center"/>
              <w:rPr>
                <w:i/>
                <w:sz w:val="20"/>
                <w:szCs w:val="20"/>
              </w:rPr>
            </w:pPr>
            <w:r w:rsidRPr="00A118D2">
              <w:t>Vietos projekto vykdytojo ženklas</w:t>
            </w:r>
          </w:p>
          <w:p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B83A24" w:rsidRPr="00A118D2" w:rsidRDefault="000E491A" w:rsidP="00B83A24">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B83A24" w:rsidRPr="00A118D2">
        <w:rPr>
          <w:szCs w:val="24"/>
        </w:rPr>
        <w:t>Šia Sutartimi Šalys susitaria bendradarbiauti įgyvendinant vietos projektą</w:t>
      </w:r>
      <w:r w:rsidR="00B83A24" w:rsidRPr="00A118D2">
        <w:rPr>
          <w:b/>
          <w:szCs w:val="24"/>
        </w:rPr>
        <w:t xml:space="preserve"> </w:t>
      </w:r>
      <w:r w:rsidR="00B83A24" w:rsidRPr="00A118D2">
        <w:rPr>
          <w:szCs w:val="24"/>
        </w:rPr>
        <w:t>Nr.</w:t>
      </w:r>
      <w:r w:rsidR="00B83A24" w:rsidRPr="00A118D2">
        <w:rPr>
          <w:b/>
          <w:szCs w:val="24"/>
        </w:rPr>
        <w:t xml:space="preserve"> _______ „_____________________“</w:t>
      </w:r>
      <w:r w:rsidR="00B83A24" w:rsidRPr="00A118D2">
        <w:rPr>
          <w:szCs w:val="24"/>
        </w:rPr>
        <w:t xml:space="preserve"> </w:t>
      </w:r>
      <w:r w:rsidR="00B83A24" w:rsidRPr="00A118D2">
        <w:rPr>
          <w:i/>
          <w:szCs w:val="24"/>
        </w:rPr>
        <w:t>(nurodomas vietos projekto registracijos kodas, vietos projekto pavadinimas)</w:t>
      </w:r>
      <w:r w:rsidR="00B83A24" w:rsidRPr="00A118D2">
        <w:rPr>
          <w:szCs w:val="24"/>
        </w:rPr>
        <w:t xml:space="preserve"> (toliau – vietos projektas), pateiktą pagal (toliau – VVG) </w:t>
      </w:r>
      <w:r w:rsidR="00B83A24">
        <w:rPr>
          <w:szCs w:val="24"/>
        </w:rPr>
        <w:t>„Prienų rajono vietos veiklos grupės teritorijos 2015-2023 m. vietos plėtros strategija“</w:t>
      </w:r>
      <w:r w:rsidR="00B83A24" w:rsidRPr="00554418">
        <w:rPr>
          <w:i/>
          <w:szCs w:val="24"/>
        </w:rPr>
        <w:t xml:space="preserve"> </w:t>
      </w:r>
      <w:r w:rsidR="00B83A24">
        <w:rPr>
          <w:szCs w:val="24"/>
        </w:rPr>
        <w:t>II</w:t>
      </w:r>
      <w:r w:rsidR="00B83A24" w:rsidRPr="00A118D2">
        <w:rPr>
          <w:szCs w:val="24"/>
        </w:rPr>
        <w:t xml:space="preserve"> prioriteto „</w:t>
      </w:r>
      <w:r w:rsidR="00B83A24">
        <w:rPr>
          <w:szCs w:val="24"/>
        </w:rPr>
        <w:t>Socialinio aktyvumo skatinimas, bendruomeniškumo ugdymas ir socialinės atskirties mažinimas</w:t>
      </w:r>
      <w:r w:rsidR="00B83A24" w:rsidRPr="00A118D2">
        <w:rPr>
          <w:szCs w:val="24"/>
        </w:rPr>
        <w:t>“ priemonės „</w:t>
      </w:r>
      <w:r w:rsidR="00B83A24">
        <w:rPr>
          <w:szCs w:val="24"/>
        </w:rPr>
        <w:t>Kultūros savitumo išsaugojimas, tradicijų tęstinumas</w:t>
      </w:r>
      <w:r w:rsidR="00B83A24" w:rsidRPr="00A118D2">
        <w:rPr>
          <w:szCs w:val="24"/>
        </w:rPr>
        <w:t>“ įgyvendinamą pagal</w:t>
      </w:r>
      <w:r w:rsidR="00B83A24" w:rsidRPr="00A118D2">
        <w:rPr>
          <w:i/>
          <w:szCs w:val="24"/>
        </w:rPr>
        <w:t xml:space="preserve"> </w:t>
      </w:r>
      <w:r w:rsidR="00B83A24" w:rsidRPr="00A118D2">
        <w:rPr>
          <w:szCs w:val="24"/>
        </w:rPr>
        <w:t xml:space="preserve">Vietos projektų finansavimo sąlygų aprašą, patvirtintą </w:t>
      </w:r>
      <w:r w:rsidR="00B83A24">
        <w:rPr>
          <w:color w:val="000000"/>
          <w:lang w:eastAsia="lt-LT"/>
        </w:rPr>
        <w:t>Prienų</w:t>
      </w:r>
      <w:r w:rsidR="00B83A24" w:rsidRPr="006614B6">
        <w:rPr>
          <w:color w:val="000000"/>
          <w:lang w:eastAsia="lt-LT"/>
        </w:rPr>
        <w:t xml:space="preserve"> rajono vietos veiklos grupės </w:t>
      </w:r>
      <w:r w:rsidR="00B83A24">
        <w:rPr>
          <w:szCs w:val="24"/>
        </w:rPr>
        <w:t>valdybos</w:t>
      </w:r>
      <w:r w:rsidR="00B83A24" w:rsidRPr="00A118D2">
        <w:rPr>
          <w:szCs w:val="24"/>
        </w:rPr>
        <w:t xml:space="preserve"> </w:t>
      </w:r>
      <w:r w:rsidR="00DA6C9C" w:rsidRPr="00DA6C9C">
        <w:rPr>
          <w:szCs w:val="24"/>
        </w:rPr>
        <w:t xml:space="preserve">2021 m. gegužės </w:t>
      </w:r>
      <w:r w:rsidR="001445AF">
        <w:rPr>
          <w:szCs w:val="24"/>
        </w:rPr>
        <w:t>28</w:t>
      </w:r>
      <w:bookmarkStart w:id="0" w:name="_GoBack"/>
      <w:bookmarkEnd w:id="0"/>
      <w:r w:rsidR="00DA6C9C" w:rsidRPr="00DA6C9C">
        <w:rPr>
          <w:szCs w:val="24"/>
        </w:rPr>
        <w:t xml:space="preserve"> d.</w:t>
      </w:r>
      <w:r w:rsidR="00B83A24" w:rsidRPr="00DA6C9C">
        <w:rPr>
          <w:color w:val="000000" w:themeColor="text1"/>
          <w:szCs w:val="24"/>
        </w:rPr>
        <w:t xml:space="preserve"> sprendimu Nr. </w:t>
      </w:r>
      <w:r w:rsidR="001445AF">
        <w:rPr>
          <w:color w:val="000000" w:themeColor="text1"/>
          <w:szCs w:val="24"/>
        </w:rPr>
        <w:t>5</w:t>
      </w:r>
      <w:r w:rsidR="00B83A24">
        <w:rPr>
          <w:color w:val="000000" w:themeColor="text1"/>
          <w:szCs w:val="24"/>
        </w:rPr>
        <w:t xml:space="preserve"> </w:t>
      </w:r>
      <w:r w:rsidR="00B83A24" w:rsidRPr="00A118D2">
        <w:rPr>
          <w:szCs w:val="24"/>
        </w:rPr>
        <w:t>(toliau – FSA), nepažeisdamos šios Sutarties sąlygų, Europos Sąjungos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8"/>
      </w:r>
    </w:p>
    <w:p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9"/>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0"/>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1"/>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3"/>
      </w:r>
    </w:p>
    <w:p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4"/>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w:t>
      </w:r>
      <w:r w:rsidRPr="00A118D2">
        <w:rPr>
          <w:i/>
          <w:lang w:val="lt-LT"/>
        </w:rPr>
        <w:lastRenderedPageBreak/>
        <w:t xml:space="preserve">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5"/>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6"/>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8"/>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9"/>
      </w:r>
      <w:r w:rsidR="00B72398" w:rsidRPr="00A118D2">
        <w:rPr>
          <w:spacing w:val="-4"/>
          <w:sz w:val="24"/>
          <w:szCs w:val="24"/>
        </w:rPr>
        <w:t>/ Taisyklių 16.1.2 papunktyje</w:t>
      </w:r>
      <w:r w:rsidR="00B72398" w:rsidRPr="00A118D2">
        <w:rPr>
          <w:rStyle w:val="Puslapioinaosnuoroda"/>
          <w:spacing w:val="-4"/>
          <w:sz w:val="24"/>
          <w:szCs w:val="24"/>
        </w:rPr>
        <w:footnoteReference w:id="20"/>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lastRenderedPageBreak/>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1"/>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2"/>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3"/>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4"/>
      </w:r>
      <w:r w:rsidR="00861DA8" w:rsidRPr="00A118D2">
        <w:t>:</w:t>
      </w:r>
    </w:p>
    <w:p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5"/>
      </w:r>
      <w:r w:rsidRPr="00A118D2">
        <w:t>.</w:t>
      </w:r>
      <w:r w:rsidRPr="00A118D2">
        <w:rPr>
          <w:rStyle w:val="Puslapioinaosnuoroda"/>
        </w:rPr>
        <w:footnoteReference w:id="26"/>
      </w:r>
    </w:p>
    <w:p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7"/>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9"/>
      </w:r>
    </w:p>
    <w:p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0"/>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1"/>
      </w:r>
    </w:p>
    <w:p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3"/>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4"/>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6"/>
      </w:r>
      <w:r>
        <w:rPr>
          <w:szCs w:val="24"/>
        </w:rPr>
        <w:t xml:space="preserve"> </w:t>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lastRenderedPageBreak/>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D5" w:rsidRDefault="009B20D5">
      <w:r>
        <w:separator/>
      </w:r>
    </w:p>
  </w:endnote>
  <w:endnote w:type="continuationSeparator" w:id="0">
    <w:p w:rsidR="009B20D5" w:rsidRDefault="009B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D5" w:rsidRDefault="009B20D5">
      <w:r>
        <w:separator/>
      </w:r>
    </w:p>
  </w:footnote>
  <w:footnote w:type="continuationSeparator" w:id="0">
    <w:p w:rsidR="009B20D5" w:rsidRDefault="009B20D5">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9">
    <w:p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0">
    <w:p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1">
    <w:p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2">
    <w:p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4">
    <w:p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7">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8">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9">
    <w:p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2">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3">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4">
    <w:p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5">
    <w:p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6">
    <w:p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7">
    <w:p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8">
    <w:p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9">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0">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1">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2">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3">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4">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5">
    <w:p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6">
    <w:p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Default="002A1EE3"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Pr="00AC74B4" w:rsidRDefault="002A1EE3"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445AF">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4D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45AF"/>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3E"/>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1EE3"/>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A61"/>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5F3"/>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B23"/>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D91"/>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E33"/>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AAA"/>
    <w:rsid w:val="007F1CDA"/>
    <w:rsid w:val="007F2230"/>
    <w:rsid w:val="00801C43"/>
    <w:rsid w:val="00801F76"/>
    <w:rsid w:val="00802C47"/>
    <w:rsid w:val="00805924"/>
    <w:rsid w:val="00805F49"/>
    <w:rsid w:val="0080668B"/>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61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D5"/>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A24"/>
    <w:rsid w:val="00B84253"/>
    <w:rsid w:val="00B84813"/>
    <w:rsid w:val="00B8575E"/>
    <w:rsid w:val="00B8597E"/>
    <w:rsid w:val="00B85B0F"/>
    <w:rsid w:val="00B863A8"/>
    <w:rsid w:val="00B86949"/>
    <w:rsid w:val="00B904A2"/>
    <w:rsid w:val="00B93DFC"/>
    <w:rsid w:val="00B95F7A"/>
    <w:rsid w:val="00B979B5"/>
    <w:rsid w:val="00BA015E"/>
    <w:rsid w:val="00BA1455"/>
    <w:rsid w:val="00BA4ED6"/>
    <w:rsid w:val="00BA5E2C"/>
    <w:rsid w:val="00BA6C3F"/>
    <w:rsid w:val="00BB0557"/>
    <w:rsid w:val="00BB13F6"/>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D7AA1"/>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6C9C"/>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0DAF"/>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B9"/>
    <w:rsid w:val="00F649C5"/>
    <w:rsid w:val="00F652D1"/>
    <w:rsid w:val="00F66179"/>
    <w:rsid w:val="00F66298"/>
    <w:rsid w:val="00F66AD1"/>
    <w:rsid w:val="00F70BBF"/>
    <w:rsid w:val="00F70C2C"/>
    <w:rsid w:val="00F716C2"/>
    <w:rsid w:val="00F72C03"/>
    <w:rsid w:val="00F73B56"/>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75B0431C-383B-43A2-AA67-6F364374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365F9E-EBB0-4715-AB8D-CE1D664B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18600</Words>
  <Characters>10603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VIP</cp:lastModifiedBy>
  <cp:revision>7</cp:revision>
  <cp:lastPrinted>2009-04-27T09:33:00Z</cp:lastPrinted>
  <dcterms:created xsi:type="dcterms:W3CDTF">2021-04-07T10:25:00Z</dcterms:created>
  <dcterms:modified xsi:type="dcterms:W3CDTF">2021-05-24T10:40:00Z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